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36"/>
          <w:szCs w:val="3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6"/>
          <w:szCs w:val="36"/>
          <w:u w:val="none"/>
          <w:shd w:fill="auto" w:val="clear"/>
          <w:vertAlign w:val="baseline"/>
          <w:rtl w:val="0"/>
        </w:rPr>
        <w:t xml:space="preserve">CAF dispondrá de fondos adicionales para impulsar el desarrollo sostenible de América Latina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Gracias a los buenos resultados operativos del 2018, que arrojaron unas utilidades de USD 311 millones, en 2019 el organismo multilateral destinará USD 130 millones adicionales para reforzar diversas iniciativas de desarrollo de los gobiernos de la región.</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0"/>
          <w:i w:val="1"/>
          <w:smallCaps w:val="0"/>
          <w:strike w:val="0"/>
          <w:color w:val="7f7f7f"/>
          <w:sz w:val="20"/>
          <w:szCs w:val="20"/>
          <w:u w:val="none"/>
          <w:shd w:fill="auto" w:val="clear"/>
          <w:vertAlign w:val="baseline"/>
          <w:rtl w:val="0"/>
        </w:rPr>
        <w:t xml:space="preserve">(Ciudad de México 1</w:t>
      </w:r>
      <w:r w:rsidDel="00000000" w:rsidR="00000000" w:rsidRPr="00000000">
        <w:rPr>
          <w:rFonts w:ascii="Arial Narrow" w:cs="Arial Narrow" w:eastAsia="Arial Narrow" w:hAnsi="Arial Narrow"/>
          <w:i w:val="1"/>
          <w:color w:val="7f7f7f"/>
          <w:sz w:val="20"/>
          <w:szCs w:val="20"/>
          <w:rtl w:val="0"/>
        </w:rPr>
        <w:t xml:space="preserve">9</w:t>
      </w:r>
      <w:r w:rsidDel="00000000" w:rsidR="00000000" w:rsidRPr="00000000">
        <w:rPr>
          <w:rFonts w:ascii="Arial Narrow" w:cs="Arial Narrow" w:eastAsia="Arial Narrow" w:hAnsi="Arial Narrow"/>
          <w:b w:val="0"/>
          <w:i w:val="1"/>
          <w:smallCaps w:val="0"/>
          <w:strike w:val="0"/>
          <w:color w:val="7f7f7f"/>
          <w:sz w:val="20"/>
          <w:szCs w:val="20"/>
          <w:u w:val="none"/>
          <w:shd w:fill="auto" w:val="clear"/>
          <w:vertAlign w:val="baseline"/>
          <w:rtl w:val="0"/>
        </w:rPr>
        <w:t xml:space="preserve"> de marzo de</w:t>
      </w:r>
      <w:r w:rsidDel="00000000" w:rsidR="00000000" w:rsidRPr="00000000">
        <w:rPr>
          <w:rFonts w:ascii="Arial Narrow" w:cs="Arial Narrow" w:eastAsia="Arial Narrow" w:hAnsi="Arial Narrow"/>
          <w:b w:val="0"/>
          <w:i w:val="1"/>
          <w:smallCaps w:val="0"/>
          <w:strike w:val="0"/>
          <w:color w:val="808080"/>
          <w:sz w:val="20"/>
          <w:szCs w:val="20"/>
          <w:u w:val="none"/>
          <w:shd w:fill="auto" w:val="clear"/>
          <w:vertAlign w:val="baseline"/>
          <w:rtl w:val="0"/>
        </w:rPr>
        <w:t xml:space="preserve"> 2019</w:t>
      </w:r>
      <w:r w:rsidDel="00000000" w:rsidR="00000000" w:rsidRPr="00000000">
        <w:rPr>
          <w:rFonts w:ascii="Arial Narrow" w:cs="Arial Narrow" w:eastAsia="Arial Narrow" w:hAnsi="Arial Narrow"/>
          <w:b w:val="0"/>
          <w:i w:val="1"/>
          <w:smallCaps w:val="0"/>
          <w:strike w:val="0"/>
          <w:color w:val="7f7f7f"/>
          <w:sz w:val="20"/>
          <w:szCs w:val="20"/>
          <w:u w:val="none"/>
          <w:shd w:fill="auto" w:val="clear"/>
          <w:vertAlign w:val="baseline"/>
          <w:rtl w:val="0"/>
        </w:rPr>
        <w:t xml:space="preserve">).</w:t>
      </w:r>
      <w:r w:rsidDel="00000000" w:rsidR="00000000" w:rsidRPr="00000000">
        <w:rPr>
          <w:rFonts w:ascii="Arial Narrow" w:cs="Arial Narrow" w:eastAsia="Arial Narrow" w:hAnsi="Arial Narrow"/>
          <w:i w:val="1"/>
          <w:color w:val="7f7f7f"/>
          <w:sz w:val="20"/>
          <w:szCs w:val="20"/>
          <w:rtl w:val="0"/>
        </w:rPr>
        <w:t xml:space="preserve">-</w:t>
      </w:r>
      <w:r w:rsidDel="00000000" w:rsidR="00000000" w:rsidRPr="00000000">
        <w:rPr>
          <w:rFonts w:ascii="Arial Narrow" w:cs="Arial Narrow" w:eastAsia="Arial Narrow" w:hAnsi="Arial Narrow"/>
          <w:b w:val="0"/>
          <w:i w:val="1"/>
          <w:smallCaps w:val="0"/>
          <w:strike w:val="0"/>
          <w:color w:val="7f7f7f"/>
          <w:sz w:val="22"/>
          <w:szCs w:val="22"/>
          <w:u w:val="none"/>
          <w:shd w:fill="auto" w:val="clear"/>
          <w:vertAlign w:val="baseline"/>
          <w:rtl w:val="0"/>
        </w:rPr>
        <w:t xml:space="preserve"> </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El buen desempeño operativo de CAF –banco de desarrollo de América Latina-, unido a un manejo financiero adecuado y a la contención del gasto, permitieron cerrar el 2018 con unas utilidades de USD 311 millones, una cifra récord para el organismo multilateral.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Estos resultados, presentados en México DF durante el CLXV Directorio de la institución, permitirán aportar USD 130 millones para fondos especiales en 2019, que se destinarán a reducir los costos financieros de los países que enfrenten problemas de desastres naturales, y a otras iniciativas que contribuyan a reforzar los planes de desarrollo de los países de la región.  </w:t>
      </w:r>
    </w:p>
    <w:p w:rsidR="00000000" w:rsidDel="00000000" w:rsidP="00000000" w:rsidRDefault="00000000" w:rsidRPr="00000000" w14:paraId="00000008">
      <w:pPr>
        <w:shd w:fill="ffffff" w:val="clear"/>
        <w:spacing w:after="280" w:before="280" w:lin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“Estos resultados nos permitirán apoyar más eficientemente a los países miembros a través de la realización de estudios y de intervenciones en sectores críticos, como la prevención de desastres naturales, agua y saneamiento y otros temas prioritarios para reducir el déficit de infraestructura para el desarrollo de la región”, destacó Luis Carranza, presidente ejecutivo de CAF.</w:t>
      </w:r>
      <w:r w:rsidDel="00000000" w:rsidR="00000000" w:rsidRPr="00000000">
        <w:rPr>
          <w:rtl w:val="0"/>
        </w:rPr>
      </w:r>
    </w:p>
    <w:p w:rsidR="00000000" w:rsidDel="00000000" w:rsidP="00000000" w:rsidRDefault="00000000" w:rsidRPr="00000000" w14:paraId="00000009">
      <w:pPr>
        <w:shd w:fill="ffffff" w:val="clear"/>
        <w:spacing w:after="280" w:before="280" w:line="240" w:lineRule="auto"/>
        <w:jc w:val="both"/>
        <w:rPr>
          <w:rFonts w:ascii="Arial Narrow" w:cs="Arial Narrow" w:eastAsia="Arial Narrow" w:hAnsi="Arial Narrow"/>
        </w:rPr>
      </w:pPr>
      <w:bookmarkStart w:colFirst="0" w:colLast="0" w:name="_gjdgxs" w:id="0"/>
      <w:bookmarkEnd w:id="0"/>
      <w:r w:rsidDel="00000000" w:rsidR="00000000" w:rsidRPr="00000000">
        <w:rPr>
          <w:rFonts w:ascii="Arial Narrow" w:cs="Arial Narrow" w:eastAsia="Arial Narrow" w:hAnsi="Arial Narrow"/>
          <w:rtl w:val="0"/>
        </w:rPr>
        <w:t xml:space="preserve">En el Directorio de CAF también se aprobaron operaciones por </w:t>
      </w:r>
      <w:hyperlink r:id="rId6">
        <w:r w:rsidDel="00000000" w:rsidR="00000000" w:rsidRPr="00000000">
          <w:rPr>
            <w:rFonts w:ascii="Arial Narrow" w:cs="Arial Narrow" w:eastAsia="Arial Narrow" w:hAnsi="Arial Narrow"/>
            <w:color w:val="0563c1"/>
            <w:u w:val="single"/>
            <w:rtl w:val="0"/>
          </w:rPr>
          <w:t xml:space="preserve">USD 80 millones</w:t>
        </w:r>
      </w:hyperlink>
      <w:r w:rsidDel="00000000" w:rsidR="00000000" w:rsidRPr="00000000">
        <w:rPr>
          <w:rFonts w:ascii="Arial Narrow" w:cs="Arial Narrow" w:eastAsia="Arial Narrow" w:hAnsi="Arial Narrow"/>
          <w:rtl w:val="0"/>
        </w:rPr>
        <w:t xml:space="preserve"> para el “Programa de integración y desarrollo urbano, social y ambiental del municipio de Camaçari” en Brasil; una </w:t>
      </w:r>
      <w:hyperlink r:id="rId7">
        <w:r w:rsidDel="00000000" w:rsidR="00000000" w:rsidRPr="00000000">
          <w:rPr>
            <w:rFonts w:ascii="Arial Narrow" w:cs="Arial Narrow" w:eastAsia="Arial Narrow" w:hAnsi="Arial Narrow"/>
            <w:color w:val="0563c1"/>
            <w:u w:val="single"/>
            <w:rtl w:val="0"/>
          </w:rPr>
          <w:t xml:space="preserve">línea de crédito contingente</w:t>
        </w:r>
      </w:hyperlink>
      <w:r w:rsidDel="00000000" w:rsidR="00000000" w:rsidRPr="00000000">
        <w:rPr>
          <w:rFonts w:ascii="Arial Narrow" w:cs="Arial Narrow" w:eastAsia="Arial Narrow" w:hAnsi="Arial Narrow"/>
          <w:rtl w:val="0"/>
        </w:rPr>
        <w:t xml:space="preserve"> no comprometida de liquidez por USD 300 millones a Paraguay; y </w:t>
      </w:r>
      <w:hyperlink r:id="rId8">
        <w:r w:rsidDel="00000000" w:rsidR="00000000" w:rsidRPr="00000000">
          <w:rPr>
            <w:rFonts w:ascii="Arial Narrow" w:cs="Arial Narrow" w:eastAsia="Arial Narrow" w:hAnsi="Arial Narrow"/>
            <w:color w:val="0563c1"/>
            <w:u w:val="single"/>
            <w:rtl w:val="0"/>
          </w:rPr>
          <w:t xml:space="preserve">USD 200 millones</w:t>
        </w:r>
      </w:hyperlink>
      <w:r w:rsidDel="00000000" w:rsidR="00000000" w:rsidRPr="00000000">
        <w:rPr>
          <w:rFonts w:ascii="Arial Narrow" w:cs="Arial Narrow" w:eastAsia="Arial Narrow" w:hAnsi="Arial Narrow"/>
          <w:rtl w:val="0"/>
        </w:rPr>
        <w:t xml:space="preserve"> para el “Programa de enfoque amplio para la construcción, rehabilitación y mantenimiento vial” en Trinidad y Tobago.</w:t>
      </w:r>
    </w:p>
    <w:p w:rsidR="00000000" w:rsidDel="00000000" w:rsidP="00000000" w:rsidRDefault="00000000" w:rsidRPr="00000000" w14:paraId="0000000A">
      <w:pPr>
        <w:shd w:fill="ffffff" w:val="clear"/>
        <w:spacing w:after="280" w:before="28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Adicionalmente, el compromiso de CAF –banco de desarrollo de América Latina- por mejorar la calidad y disponibilidad de proyectos de infraestructura de integración regional, se ratifica una vez más con la aprobación por parte del Directorio de la segunda etapa del Programa de Preinversión de Infraestructura Regional (CAF-PPI), que al igual que la primera etapa, contará con un monto total de USD 10 millones.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jc w:val="both"/>
        <w:rPr>
          <w:rFonts w:ascii="Arial Narrow" w:cs="Arial Narrow" w:eastAsia="Arial Narrow" w:hAnsi="Arial Narrow"/>
        </w:rPr>
      </w:pPr>
      <w:r w:rsidDel="00000000" w:rsidR="00000000" w:rsidRPr="00000000">
        <w:rPr>
          <w:rtl w:val="0"/>
        </w:rPr>
      </w:r>
    </w:p>
    <w:sectPr>
      <w:headerReference r:id="rId9"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spacing w:after="0" w:line="240" w:lineRule="auto"/>
      <w:jc w:val="center"/>
      <w:rPr/>
    </w:pPr>
    <w:r w:rsidDel="00000000" w:rsidR="00000000" w:rsidRPr="00000000">
      <w:rPr>
        <w:rFonts w:ascii="Arial" w:cs="Arial" w:eastAsia="Arial" w:hAnsi="Arial"/>
        <w:color w:val="222222"/>
        <w:sz w:val="16"/>
        <w:szCs w:val="16"/>
      </w:rPr>
      <w:drawing>
        <wp:inline distB="0" distT="0" distL="0" distR="0">
          <wp:extent cx="2193983" cy="100245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3983" cy="10024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caf.com/es/actualidad/noticias/2019/03/usd-80-millones-para-impulsar-la-integracion-urbana-y-el-desarrollo-economico-de-camacari-brasil/?parent=home" TargetMode="External"/><Relationship Id="rId7" Type="http://schemas.openxmlformats.org/officeDocument/2006/relationships/hyperlink" Target="https://www.caf.com/es/actualidad/noticias/2019/03/paraguay-asegura-contingencias-con-linea-liquidez-caf/?parent=home" TargetMode="External"/><Relationship Id="rId8" Type="http://schemas.openxmlformats.org/officeDocument/2006/relationships/hyperlink" Target="https://www.caf.com/es/actualidad/noticias/2019/03/usd-200-millones-para-mejorar-la-red-vial-de-trinidad-y-tobago/?parent=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